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7E" w:rsidRDefault="0025707E" w:rsidP="002570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1926E59" wp14:editId="399FF7D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5707E" w:rsidRDefault="0025707E" w:rsidP="0025707E">
      <w:pPr>
        <w:pStyle w:val="1"/>
        <w:jc w:val="center"/>
        <w:rPr>
          <w:b/>
          <w:sz w:val="40"/>
        </w:rPr>
      </w:pPr>
    </w:p>
    <w:p w:rsidR="0025707E" w:rsidRDefault="0025707E" w:rsidP="002570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5707E" w:rsidRPr="00EE4A51" w:rsidRDefault="0025707E" w:rsidP="0025707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5707E" w:rsidRDefault="0025707E" w:rsidP="002570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5707E" w:rsidRPr="006F2D69" w:rsidRDefault="0025707E" w:rsidP="002570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5707E" w:rsidRDefault="0025707E" w:rsidP="0025707E">
      <w:pPr>
        <w:pStyle w:val="1"/>
        <w:jc w:val="center"/>
        <w:rPr>
          <w:i/>
          <w:sz w:val="10"/>
        </w:rPr>
      </w:pPr>
    </w:p>
    <w:p w:rsidR="0025707E" w:rsidRDefault="0025707E" w:rsidP="0025707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Default="0025707E" w:rsidP="0025707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Default="0025707E" w:rsidP="0025707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5707E" w:rsidRDefault="0025707E" w:rsidP="002570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07E" w:rsidRPr="00F8340D" w:rsidRDefault="0025707E" w:rsidP="00257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0B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47A0B" w:rsidRPr="00047A0B">
        <w:rPr>
          <w:rFonts w:ascii="Times New Roman" w:hAnsi="Times New Roman" w:cs="Times New Roman"/>
          <w:b/>
          <w:sz w:val="28"/>
          <w:szCs w:val="28"/>
        </w:rPr>
        <w:t>7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«</w:t>
      </w:r>
      <w:r w:rsidRPr="0025707E">
        <w:rPr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F8340D">
        <w:rPr>
          <w:b/>
        </w:rPr>
        <w:t>» на 2020-2024 годы</w:t>
      </w:r>
    </w:p>
    <w:p w:rsidR="0025707E" w:rsidRPr="00F8340D" w:rsidRDefault="0025707E" w:rsidP="0025707E">
      <w:pPr>
        <w:jc w:val="center"/>
        <w:rPr>
          <w:b/>
          <w:sz w:val="26"/>
          <w:szCs w:val="26"/>
        </w:rPr>
      </w:pPr>
    </w:p>
    <w:p w:rsidR="0025707E" w:rsidRDefault="00047A0B" w:rsidP="002570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«17</w:t>
      </w:r>
      <w:r w:rsidR="0025707E" w:rsidRPr="00481601">
        <w:rPr>
          <w:b/>
          <w:sz w:val="22"/>
          <w:szCs w:val="22"/>
        </w:rPr>
        <w:t>»</w:t>
      </w:r>
      <w:r w:rsidR="0025707E">
        <w:rPr>
          <w:b/>
          <w:sz w:val="22"/>
          <w:szCs w:val="22"/>
        </w:rPr>
        <w:t xml:space="preserve"> февраля 2021</w:t>
      </w:r>
      <w:r w:rsidR="0025707E" w:rsidRPr="0039707E">
        <w:rPr>
          <w:b/>
          <w:sz w:val="22"/>
          <w:szCs w:val="22"/>
        </w:rPr>
        <w:t xml:space="preserve"> г</w:t>
      </w:r>
      <w:r w:rsidR="0025707E">
        <w:rPr>
          <w:b/>
          <w:sz w:val="26"/>
          <w:szCs w:val="26"/>
        </w:rPr>
        <w:t>.</w:t>
      </w:r>
    </w:p>
    <w:p w:rsidR="0025707E" w:rsidRDefault="0025707E" w:rsidP="0025707E">
      <w:pPr>
        <w:jc w:val="right"/>
        <w:rPr>
          <w:b/>
          <w:sz w:val="26"/>
          <w:szCs w:val="26"/>
        </w:rPr>
      </w:pPr>
    </w:p>
    <w:p w:rsidR="0025707E" w:rsidRDefault="0025707E" w:rsidP="0025707E">
      <w:pPr>
        <w:ind w:firstLine="708"/>
        <w:jc w:val="both"/>
      </w:pPr>
      <w:r>
        <w:rPr>
          <w:b/>
        </w:rPr>
        <w:t xml:space="preserve">1. </w:t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>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247838">
        <w:t xml:space="preserve">» </w:t>
      </w:r>
      <w:r w:rsidRPr="007A05DD">
        <w:t>на 2020-2024 годы</w:t>
      </w:r>
      <w:r>
        <w:t xml:space="preserve"> на основании:</w:t>
      </w:r>
    </w:p>
    <w:p w:rsidR="0025707E" w:rsidRDefault="0025707E" w:rsidP="002570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5707E" w:rsidRDefault="0025707E" w:rsidP="002570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5707E" w:rsidRDefault="0025707E" w:rsidP="002570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5707E" w:rsidRDefault="0025707E" w:rsidP="002570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5707E" w:rsidRDefault="0025707E" w:rsidP="0025707E">
      <w:pPr>
        <w:jc w:val="both"/>
      </w:pPr>
      <w:r>
        <w:rPr>
          <w:b/>
        </w:rPr>
        <w:tab/>
        <w:t xml:space="preserve">2.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t>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5707E" w:rsidRDefault="0025707E" w:rsidP="002570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5707E" w:rsidRDefault="0025707E" w:rsidP="0025707E">
      <w:pPr>
        <w:ind w:firstLine="708"/>
        <w:jc w:val="both"/>
      </w:pPr>
      <w:r>
        <w:rPr>
          <w:b/>
        </w:rPr>
        <w:t xml:space="preserve">4.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5707E" w:rsidRDefault="0025707E" w:rsidP="0025707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5707E" w:rsidRDefault="0025707E" w:rsidP="0025707E">
      <w:pPr>
        <w:ind w:firstLine="708"/>
        <w:jc w:val="both"/>
      </w:pP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t>» на 2020-2024 годы»;</w:t>
      </w:r>
    </w:p>
    <w:p w:rsidR="007D0227" w:rsidRDefault="0025707E" w:rsidP="0025707E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 w:rsidRPr="0025707E">
        <w:t>Общая характеристика сферы реализации муниципальной программы</w:t>
      </w:r>
      <w:r>
        <w:t>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Прогноз развития</w:t>
      </w:r>
      <w:r w:rsidRPr="0025707E">
        <w:t xml:space="preserve"> сферы реализации</w:t>
      </w:r>
      <w:r>
        <w:t xml:space="preserve"> проекта</w:t>
      </w:r>
      <w:r w:rsidRPr="0025707E">
        <w:t xml:space="preserve"> Программы</w:t>
      </w:r>
      <w:r>
        <w:t>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 w:rsidRPr="0025707E">
        <w:t>Перечень подпрограмм</w:t>
      </w:r>
      <w:r>
        <w:t xml:space="preserve"> муниципальной программы;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Обобщенная характеристика основных мероприятий с обоснованием необходимости их осуществления;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 w:rsidRPr="0025707E">
        <w:t xml:space="preserve">Планируемые результаты реализации </w:t>
      </w:r>
      <w:r>
        <w:t xml:space="preserve">проекта </w:t>
      </w:r>
      <w:r w:rsidRPr="0025707E">
        <w:t>Программы</w:t>
      </w:r>
      <w:r>
        <w:t>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 w:rsidRPr="0025707E">
        <w:t>Методика расчета значений показателей эффективности реализации муниципальной программы</w:t>
      </w:r>
      <w:r>
        <w:t>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Программы (подпрограммы);</w:t>
      </w:r>
    </w:p>
    <w:p w:rsidR="0025707E" w:rsidRDefault="00A778FC" w:rsidP="00A778FC">
      <w:pPr>
        <w:pStyle w:val="a3"/>
        <w:numPr>
          <w:ilvl w:val="0"/>
          <w:numId w:val="1"/>
        </w:numPr>
        <w:jc w:val="both"/>
      </w:pPr>
      <w:r>
        <w:t>Подпрограммы;</w:t>
      </w:r>
    </w:p>
    <w:p w:rsidR="00A778FC" w:rsidRDefault="00A778FC" w:rsidP="00A778FC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25707E" w:rsidRDefault="0025707E" w:rsidP="0025707E">
      <w:pPr>
        <w:pStyle w:val="a3"/>
        <w:ind w:left="1211"/>
        <w:jc w:val="both"/>
      </w:pPr>
    </w:p>
    <w:p w:rsidR="0025707E" w:rsidRDefault="0025707E" w:rsidP="0025707E">
      <w:pPr>
        <w:pStyle w:val="a3"/>
        <w:ind w:left="1211"/>
        <w:jc w:val="both"/>
      </w:pPr>
    </w:p>
    <w:p w:rsidR="0025707E" w:rsidRDefault="0025707E" w:rsidP="0025707E">
      <w:pPr>
        <w:pStyle w:val="a3"/>
        <w:ind w:left="0" w:firstLine="720"/>
        <w:jc w:val="both"/>
        <w:rPr>
          <w:b/>
        </w:rPr>
      </w:pPr>
      <w:r>
        <w:rPr>
          <w:b/>
        </w:rPr>
        <w:t>5</w:t>
      </w:r>
      <w:r w:rsidRPr="00F37E68">
        <w:rPr>
          <w:b/>
        </w:rPr>
        <w:t>. При проведении экспертизы представленного проекта постановления установлено следующее:</w:t>
      </w:r>
    </w:p>
    <w:p w:rsidR="0025707E" w:rsidRPr="00F37E68" w:rsidRDefault="0025707E" w:rsidP="0025707E">
      <w:pPr>
        <w:pStyle w:val="a3"/>
        <w:ind w:left="0" w:firstLine="720"/>
        <w:jc w:val="both"/>
        <w:rPr>
          <w:b/>
        </w:rPr>
      </w:pPr>
    </w:p>
    <w:p w:rsidR="0025707E" w:rsidRDefault="0025707E" w:rsidP="0025707E">
      <w:pPr>
        <w:pStyle w:val="a3"/>
        <w:ind w:left="0" w:firstLine="720"/>
        <w:jc w:val="both"/>
      </w:pPr>
      <w:r>
        <w:t>5</w:t>
      </w:r>
      <w:r w:rsidRPr="00DB680C">
        <w:t>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5707E" w:rsidRDefault="0025707E" w:rsidP="0025707E">
      <w:pPr>
        <w:jc w:val="both"/>
      </w:pPr>
      <w:r>
        <w:tab/>
        <w:t xml:space="preserve">5.2. Объем финансирования приведен в соответствие с Решением Совета депутатов городского округа </w:t>
      </w:r>
      <w:r w:rsidRPr="00802B32">
        <w:t>Пущино №125/26 от 24.12.2020 года «О внесении изменений в решение Совета депутатов городского округа Пущино от 28.11.2019</w:t>
      </w:r>
      <w:r>
        <w:t xml:space="preserve"> № 28/06 «О бюджете городского округа Пущино на 2020 год и на плановый период 2021 и 2022 годов» и </w:t>
      </w:r>
      <w:r w:rsidR="00802B32" w:rsidRPr="00802B32">
        <w:t>№131/27 от 28.01.2021 года «О внесении изменений в решение Совета депутатов городского округа Пущино от 28.10.12.2020 № 122/25 «О бюджете городского округа Пущино на 2021 год и на план</w:t>
      </w:r>
      <w:r w:rsidR="00802B32">
        <w:t>овый период 2022 и 2023 годов»</w:t>
      </w:r>
      <w:r>
        <w:t>. Изменение объемов финансирования программы приведены в Таблице №1.</w:t>
      </w:r>
    </w:p>
    <w:p w:rsidR="0026199F" w:rsidRDefault="0026199F" w:rsidP="0025707E">
      <w:pPr>
        <w:jc w:val="both"/>
      </w:pPr>
    </w:p>
    <w:p w:rsidR="0026199F" w:rsidRDefault="0026199F" w:rsidP="0025707E">
      <w:pPr>
        <w:jc w:val="both"/>
      </w:pPr>
    </w:p>
    <w:p w:rsidR="0026199F" w:rsidRDefault="0026199F" w:rsidP="0025707E">
      <w:pPr>
        <w:jc w:val="both"/>
      </w:pPr>
    </w:p>
    <w:p w:rsidR="00C018B8" w:rsidRDefault="00C018B8" w:rsidP="0025707E">
      <w:pPr>
        <w:jc w:val="both"/>
      </w:pPr>
      <w:bookmarkStart w:id="0" w:name="_GoBack"/>
      <w:bookmarkEnd w:id="0"/>
    </w:p>
    <w:p w:rsidR="0025707E" w:rsidRDefault="0025707E" w:rsidP="0025707E">
      <w:pPr>
        <w:jc w:val="right"/>
        <w:rPr>
          <w:i/>
        </w:rPr>
      </w:pPr>
      <w:r w:rsidRPr="00487F64">
        <w:rPr>
          <w:i/>
        </w:rPr>
        <w:lastRenderedPageBreak/>
        <w:t>Таблица №1</w:t>
      </w:r>
    </w:p>
    <w:p w:rsidR="006F1416" w:rsidRDefault="0025707E" w:rsidP="0025707E">
      <w:pPr>
        <w:pStyle w:val="a3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02B32">
        <w:instrText xml:space="preserve">Excel.Sheet.12 "D:\\Desktop\\РК\\Документы\\Заключения\\Экспертиза муниципальных программ\\2021\\на изменения 2020\\МП Развитие институтов гражданского общества\\развитие институтов гражданского общества.xlsx" Лист1!R6C4:R17C10 </w:instrText>
      </w:r>
      <w:r>
        <w:instrText xml:space="preserve">\a \f 4 \h </w:instrText>
      </w:r>
      <w:r>
        <w:fldChar w:fldCharType="separate"/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3688"/>
        <w:gridCol w:w="966"/>
        <w:gridCol w:w="966"/>
        <w:gridCol w:w="960"/>
        <w:gridCol w:w="960"/>
        <w:gridCol w:w="960"/>
        <w:gridCol w:w="960"/>
      </w:tblGrid>
      <w:tr w:rsidR="006F1416" w:rsidRPr="006F1416" w:rsidTr="006F1416">
        <w:trPr>
          <w:divId w:val="336886269"/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6F1416" w:rsidRPr="006F1416" w:rsidTr="006F1416">
        <w:trPr>
          <w:divId w:val="336886269"/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6F1416" w:rsidRPr="006F1416" w:rsidTr="006F1416">
        <w:trPr>
          <w:divId w:val="336886269"/>
          <w:trHeight w:val="14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МП "Развитие институтов гражданского общества, повышение эффективности местного самоуправления и реализации молодежной политики" на 2020 – 2024 годы»"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30417,00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12018,00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5188,00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5441,00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3870,00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3900,00</w:t>
            </w:r>
          </w:p>
        </w:tc>
      </w:tr>
      <w:tr w:rsidR="006F1416" w:rsidRPr="006F1416" w:rsidTr="006F1416">
        <w:trPr>
          <w:divId w:val="336886269"/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5696,00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2961,00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1256,00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1479,00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6F1416" w:rsidRPr="006F1416" w:rsidTr="006F1416">
        <w:trPr>
          <w:divId w:val="336886269"/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  <w:lang w:val="en-US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6F1416" w:rsidRPr="006F1416" w:rsidTr="006F1416">
        <w:trPr>
          <w:divId w:val="336886269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20074,80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5110,80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3802,00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3802,00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3680,00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3680,00</w:t>
            </w:r>
          </w:p>
        </w:tc>
      </w:tr>
      <w:tr w:rsidR="006F1416" w:rsidRPr="006F1416" w:rsidTr="006F1416">
        <w:trPr>
          <w:divId w:val="336886269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rFonts w:eastAsia="Calibri"/>
                <w:color w:val="000000"/>
                <w:sz w:val="20"/>
                <w:szCs w:val="20"/>
              </w:rPr>
              <w:t>220,00</w:t>
            </w:r>
          </w:p>
        </w:tc>
      </w:tr>
      <w:tr w:rsidR="006F1416" w:rsidRPr="006F1416" w:rsidTr="006F1416">
        <w:trPr>
          <w:divId w:val="336886269"/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ПРОЕКТ МП "Развитие институтов гражданского общества, повышение эффективности местного самоуправления и реализации молодежной политики» на 2020 – 2024 годы"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33586,78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10613,78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7908,00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6132,00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5967,00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2966,00</w:t>
            </w:r>
          </w:p>
        </w:tc>
      </w:tr>
      <w:tr w:rsidR="006F1416" w:rsidRPr="006F1416" w:rsidTr="006F1416">
        <w:trPr>
          <w:divId w:val="336886269"/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7652,00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3333,00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1416" w:rsidRPr="006F1416" w:rsidTr="006F1416">
        <w:trPr>
          <w:divId w:val="336886269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1416" w:rsidRPr="006F1416" w:rsidTr="006F1416">
        <w:trPr>
          <w:divId w:val="336886269"/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21988,58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5297,58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2966,00</w:t>
            </w:r>
          </w:p>
        </w:tc>
      </w:tr>
      <w:tr w:rsidR="006F1416" w:rsidRPr="006F1416" w:rsidTr="006F1416">
        <w:trPr>
          <w:divId w:val="336886269"/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5707E" w:rsidRDefault="0025707E" w:rsidP="0025707E">
      <w:pPr>
        <w:pStyle w:val="a3"/>
        <w:ind w:left="0"/>
        <w:jc w:val="both"/>
      </w:pPr>
      <w:r>
        <w:fldChar w:fldCharType="end"/>
      </w:r>
    </w:p>
    <w:p w:rsidR="0025707E" w:rsidRDefault="003F305D" w:rsidP="0025707E">
      <w:pPr>
        <w:jc w:val="both"/>
      </w:pPr>
      <w:r>
        <w:tab/>
        <w:t>5.3</w:t>
      </w:r>
      <w:r w:rsidR="0025707E">
        <w:t xml:space="preserve">. </w:t>
      </w:r>
      <w:r w:rsidR="0025707E" w:rsidRPr="00830ADE">
        <w:t>Общий объем финансирования муницип</w:t>
      </w:r>
      <w:r w:rsidR="00A711EA">
        <w:t xml:space="preserve">альной программы увеличен </w:t>
      </w:r>
      <w:r w:rsidR="001328D0">
        <w:t xml:space="preserve">на 1956 </w:t>
      </w:r>
      <w:r w:rsidR="0025707E">
        <w:t xml:space="preserve">тыс. рублей за счет федерального бюджета, на </w:t>
      </w:r>
      <w:r w:rsidR="001328D0" w:rsidRPr="001328D0">
        <w:t>1913,78</w:t>
      </w:r>
      <w:r w:rsidR="001328D0">
        <w:t xml:space="preserve"> </w:t>
      </w:r>
      <w:r w:rsidR="0025707E">
        <w:t xml:space="preserve">тыс. рублей за счет средств бюджета городского округа Пущино, </w:t>
      </w:r>
      <w:r w:rsidR="001328D0">
        <w:t xml:space="preserve">при этом сокращается финансирование на 700 </w:t>
      </w:r>
      <w:r w:rsidR="0025707E">
        <w:t xml:space="preserve">тыс. рублей </w:t>
      </w:r>
      <w:r w:rsidR="00A711EA">
        <w:t>за счет внебюджетных источников (</w:t>
      </w:r>
      <w:r w:rsidR="00A711EA" w:rsidRPr="00A711EA">
        <w:t>или на 10,4%)</w:t>
      </w:r>
      <w:r w:rsidR="0025707E">
        <w:t xml:space="preserve"> и составил </w:t>
      </w:r>
      <w:r w:rsidR="001328D0" w:rsidRPr="001328D0">
        <w:t>33586,78</w:t>
      </w:r>
      <w:r w:rsidR="001328D0">
        <w:t xml:space="preserve"> </w:t>
      </w:r>
      <w:r w:rsidR="0025707E" w:rsidRPr="00830ADE">
        <w:t>тыс. рублей в связи со следующими изменениями проекта Программы:</w:t>
      </w:r>
    </w:p>
    <w:p w:rsidR="001328D0" w:rsidRDefault="003F305D" w:rsidP="0025707E">
      <w:pPr>
        <w:jc w:val="both"/>
      </w:pPr>
      <w:r>
        <w:tab/>
        <w:t xml:space="preserve">1) в Подпрограмме </w:t>
      </w:r>
      <w:r w:rsidRPr="003F305D">
        <w:t xml:space="preserve">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3F305D">
        <w:t>медиасреды</w:t>
      </w:r>
      <w:proofErr w:type="spellEnd"/>
      <w:r w:rsidRPr="003F305D">
        <w:t>»</w:t>
      </w:r>
      <w:r>
        <w:t xml:space="preserve"> увеличено финансирование в общей сумме на 2305 тыс. рублей:</w:t>
      </w:r>
    </w:p>
    <w:p w:rsidR="003F305D" w:rsidRDefault="003F305D" w:rsidP="003F305D">
      <w:pPr>
        <w:jc w:val="both"/>
      </w:pPr>
      <w:r>
        <w:tab/>
        <w:t>- увеличено финансирование на 2297 тыс. рублей в Основном мероприятии 1. «Информирование населения об основных событиях социально-экономического развития и общественно-политической жизни»;</w:t>
      </w:r>
    </w:p>
    <w:p w:rsidR="001328D0" w:rsidRDefault="003F305D" w:rsidP="0025707E">
      <w:pPr>
        <w:jc w:val="both"/>
      </w:pPr>
      <w:r>
        <w:tab/>
        <w:t>- увеличено финансирование на 8 тыс. рублей в Основном мероприятии 3. «</w:t>
      </w:r>
      <w:r w:rsidRPr="003F305D">
        <w:t>Организация создания и эксплуатации сети объектов наружной рекламы</w:t>
      </w:r>
      <w:r>
        <w:t>»;</w:t>
      </w:r>
    </w:p>
    <w:p w:rsidR="003F305D" w:rsidRDefault="003F305D" w:rsidP="003F305D">
      <w:pPr>
        <w:jc w:val="both"/>
      </w:pPr>
      <w:r>
        <w:tab/>
        <w:t>2) в Подпрограмме</w:t>
      </w:r>
      <w:r w:rsidRPr="003F305D">
        <w:t xml:space="preserve"> III «Эффективное местное самоуправление Московской области»</w:t>
      </w:r>
      <w:r>
        <w:t xml:space="preserve"> увеличено финансирование в Основном мероприятии 1. «Реализация практик инициативного бюджетирования на территории муниципальных образований Московской области» на 48 тыс. рублей;</w:t>
      </w:r>
    </w:p>
    <w:p w:rsidR="0025707E" w:rsidRDefault="0068288A" w:rsidP="0068288A">
      <w:pPr>
        <w:pStyle w:val="a3"/>
        <w:ind w:left="0"/>
        <w:jc w:val="both"/>
      </w:pPr>
      <w:r>
        <w:tab/>
        <w:t>3) в Подпрограмме</w:t>
      </w:r>
      <w:r w:rsidRPr="0068288A">
        <w:t xml:space="preserve"> IV «Молодежь Подмосковья»</w:t>
      </w:r>
      <w:r>
        <w:t xml:space="preserve"> сократилось финансирование в Основном мероприятии</w:t>
      </w:r>
      <w:r w:rsidRPr="0068288A">
        <w:t xml:space="preserve"> 1 «Организация и проведение мероприятий по гражданско-патриотическому и духовно-нравственному воспитанию молодежи, а также по вовлечению </w:t>
      </w:r>
      <w:r w:rsidRPr="0068288A">
        <w:lastRenderedPageBreak/>
        <w:t xml:space="preserve">молодежи в международное, межрегиональное и межмуниципальное </w:t>
      </w:r>
      <w:r w:rsidR="00104469" w:rsidRPr="0068288A">
        <w:t>сотрудничество»</w:t>
      </w:r>
      <w:r w:rsidR="00104469">
        <w:t xml:space="preserve"> сокращено</w:t>
      </w:r>
      <w:r w:rsidR="004E4169">
        <w:t xml:space="preserve"> финансирование </w:t>
      </w:r>
      <w:r>
        <w:t>на 739,22 тыс. рублей;</w:t>
      </w:r>
    </w:p>
    <w:p w:rsidR="0068288A" w:rsidRDefault="0068288A" w:rsidP="0068288A">
      <w:pPr>
        <w:pStyle w:val="a3"/>
        <w:ind w:left="0"/>
        <w:jc w:val="both"/>
      </w:pPr>
      <w:r>
        <w:tab/>
      </w:r>
      <w:r w:rsidR="003B10F7">
        <w:t xml:space="preserve">4) в Подпрограмме </w:t>
      </w:r>
      <w:r w:rsidR="003B10F7" w:rsidRPr="003B10F7">
        <w:t>V «Обеспечивающая подпрограмма»</w:t>
      </w:r>
      <w:r w:rsidR="003B10F7">
        <w:t xml:space="preserve"> увеличено финансирование в общей сумме </w:t>
      </w:r>
      <w:r w:rsidR="005A0955">
        <w:t xml:space="preserve">1956 </w:t>
      </w:r>
      <w:r w:rsidR="003B10F7">
        <w:t>тыс. рублей:</w:t>
      </w:r>
    </w:p>
    <w:p w:rsidR="003B10F7" w:rsidRDefault="003B10F7" w:rsidP="0068288A">
      <w:pPr>
        <w:pStyle w:val="a3"/>
        <w:ind w:left="0"/>
        <w:jc w:val="both"/>
      </w:pPr>
      <w:r>
        <w:tab/>
        <w:t xml:space="preserve">- увеличено финансирование </w:t>
      </w:r>
      <w:r w:rsidR="00A711EA">
        <w:t>на 128</w:t>
      </w:r>
      <w:r w:rsidR="005A0955">
        <w:t xml:space="preserve"> тыс. рублей в 2020 году, на </w:t>
      </w:r>
      <w:r w:rsidR="00A711EA">
        <w:t>117 тыс. рублей в 2021 году, 55 тыс. рублей в 2022 году и 137</w:t>
      </w:r>
      <w:r w:rsidR="005A0955">
        <w:t xml:space="preserve">2 тыс. рублей в 2023 году из средств федерального бюджета </w:t>
      </w:r>
      <w:r>
        <w:t>в Основном мероприятии 1 «</w:t>
      </w:r>
      <w:r w:rsidRPr="003B10F7">
        <w:t>Осуществление первичного воинского учета на территориях, где отсутствуют военные комиссариаты</w:t>
      </w:r>
      <w:r>
        <w:t>»;</w:t>
      </w:r>
      <w:r w:rsidR="00AD137E">
        <w:t xml:space="preserve"> </w:t>
      </w:r>
    </w:p>
    <w:p w:rsidR="003B10F7" w:rsidRDefault="003B10F7" w:rsidP="0068288A">
      <w:pPr>
        <w:pStyle w:val="a3"/>
        <w:ind w:left="0"/>
        <w:jc w:val="both"/>
      </w:pPr>
      <w:r>
        <w:tab/>
        <w:t>- увеличено финансирование</w:t>
      </w:r>
      <w:r w:rsidR="00AD137E">
        <w:t xml:space="preserve"> на 1 тыс. рублей в 20</w:t>
      </w:r>
      <w:r w:rsidR="00A711EA">
        <w:t>20 году, на 2 тыс. рублей в 2021 году, на 23 тыс. рублей в 2022</w:t>
      </w:r>
      <w:r w:rsidR="00AD137E">
        <w:t xml:space="preserve"> году</w:t>
      </w:r>
      <w:r w:rsidR="00A711EA">
        <w:t>, на 20 тыс. рублей в 2023 году</w:t>
      </w:r>
      <w:r>
        <w:t xml:space="preserve"> в Основном мероприятии 2 «</w:t>
      </w:r>
      <w:r w:rsidRPr="003B10F7">
        <w:t>Корректировка списков кандидатов в присяжные заседатели федеральных судов общей юрисдикции в Российской Федерации»</w:t>
      </w:r>
      <w:r>
        <w:t>;</w:t>
      </w:r>
    </w:p>
    <w:p w:rsidR="0068288A" w:rsidRDefault="003B10F7" w:rsidP="0068288A">
      <w:pPr>
        <w:pStyle w:val="a3"/>
        <w:ind w:left="0"/>
        <w:jc w:val="both"/>
      </w:pPr>
      <w:r>
        <w:tab/>
        <w:t>- увеличено финансирование на 238 тыс. рублей в Основном мероприятии 3 «</w:t>
      </w:r>
      <w:r w:rsidRPr="003B10F7">
        <w:t>Подготовка и проведение Всероссийской переписи населения</w:t>
      </w:r>
      <w:r w:rsidR="00A711EA">
        <w:t>».</w:t>
      </w:r>
    </w:p>
    <w:p w:rsidR="0068288A" w:rsidRPr="0068288A" w:rsidRDefault="0068288A" w:rsidP="0068288A">
      <w:pPr>
        <w:pStyle w:val="a3"/>
        <w:ind w:left="0"/>
        <w:jc w:val="both"/>
      </w:pPr>
      <w:r>
        <w:tab/>
      </w:r>
    </w:p>
    <w:p w:rsidR="0025707E" w:rsidRPr="00E87725" w:rsidRDefault="0025707E" w:rsidP="0025707E">
      <w:pPr>
        <w:jc w:val="both"/>
      </w:pPr>
      <w:r>
        <w:tab/>
      </w:r>
      <w:r w:rsidRPr="0025707E">
        <w:rPr>
          <w:b/>
        </w:rPr>
        <w:t>6. Выводы:</w:t>
      </w:r>
      <w:r w:rsidRPr="00E87725">
        <w:t xml:space="preserve"> изменения в муниципальную программу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87725">
        <w:t xml:space="preserve">» на 2020-2024 годы вносятся в соответствии со ст.179 Бюджетного кодекса РФ. Объем финансирования муниципальной программы, соответствует объемам </w:t>
      </w:r>
      <w:r w:rsidRPr="00104469">
        <w:t>бюджетных ассигнований, предусмотренных Решением Совета депутатов городского округа Пущино №125/26 от 24.12.2020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</w:t>
      </w:r>
      <w:r w:rsidRPr="00E87725">
        <w:t xml:space="preserve"> годов» и </w:t>
      </w:r>
      <w:r w:rsidR="00104469" w:rsidRPr="00104469">
        <w:t>№131/27 от 28.01.2021 года «О внесении изменений в решение Совета депутатов городского округа Пущино от 28.10.12.2020 № 122/25 «О бюджете городского округа Пущино на 2021 год и на плановый период 2022 и 2023 годов».</w:t>
      </w:r>
      <w:r w:rsidRPr="00E87725">
        <w:tab/>
        <w:t>По итогам финансово-экономической экспертизы проекта Программы замечания отсутствуют.</w:t>
      </w:r>
    </w:p>
    <w:p w:rsidR="0025707E" w:rsidRDefault="0025707E" w:rsidP="0025707E">
      <w:pPr>
        <w:jc w:val="both"/>
      </w:pPr>
    </w:p>
    <w:p w:rsidR="001C2B9C" w:rsidRPr="00E87725" w:rsidRDefault="001C2B9C" w:rsidP="0025707E">
      <w:pPr>
        <w:jc w:val="both"/>
      </w:pPr>
    </w:p>
    <w:p w:rsidR="0025707E" w:rsidRPr="0025707E" w:rsidRDefault="001C2B9C" w:rsidP="0025707E">
      <w:pPr>
        <w:jc w:val="both"/>
      </w:pPr>
      <w:proofErr w:type="spellStart"/>
      <w:r>
        <w:t>И.о</w:t>
      </w:r>
      <w:proofErr w:type="spellEnd"/>
      <w:r>
        <w:t>. председателя Ревизионной комиссии</w:t>
      </w:r>
      <w:r w:rsidR="0025707E" w:rsidRPr="00E87725">
        <w:t xml:space="preserve">       </w:t>
      </w:r>
      <w:r>
        <w:t xml:space="preserve">                                                  Г.Н. </w:t>
      </w:r>
      <w:proofErr w:type="spellStart"/>
      <w:r>
        <w:t>Мордакина</w:t>
      </w:r>
      <w:proofErr w:type="spellEnd"/>
      <w:r w:rsidR="0025707E" w:rsidRPr="00E87725">
        <w:t xml:space="preserve">                                  </w:t>
      </w:r>
      <w:r>
        <w:t xml:space="preserve">            </w:t>
      </w:r>
    </w:p>
    <w:sectPr w:rsidR="0025707E" w:rsidRPr="00257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0A" w:rsidRDefault="000E2E0A" w:rsidP="00C018B8">
      <w:r>
        <w:separator/>
      </w:r>
    </w:p>
  </w:endnote>
  <w:endnote w:type="continuationSeparator" w:id="0">
    <w:p w:rsidR="000E2E0A" w:rsidRDefault="000E2E0A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854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18B8" w:rsidRPr="00C018B8" w:rsidRDefault="00C018B8">
        <w:pPr>
          <w:pStyle w:val="a6"/>
          <w:jc w:val="center"/>
          <w:rPr>
            <w:sz w:val="20"/>
            <w:szCs w:val="20"/>
          </w:rPr>
        </w:pPr>
        <w:r w:rsidRPr="00C018B8">
          <w:rPr>
            <w:sz w:val="20"/>
            <w:szCs w:val="20"/>
          </w:rPr>
          <w:fldChar w:fldCharType="begin"/>
        </w:r>
        <w:r w:rsidRPr="00C018B8">
          <w:rPr>
            <w:sz w:val="20"/>
            <w:szCs w:val="20"/>
          </w:rPr>
          <w:instrText>PAGE   \* MERGEFORMAT</w:instrText>
        </w:r>
        <w:r w:rsidRPr="00C018B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C018B8">
          <w:rPr>
            <w:sz w:val="20"/>
            <w:szCs w:val="20"/>
          </w:rPr>
          <w:fldChar w:fldCharType="end"/>
        </w:r>
      </w:p>
    </w:sdtContent>
  </w:sdt>
  <w:p w:rsidR="00C018B8" w:rsidRPr="00C018B8" w:rsidRDefault="00C018B8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0A" w:rsidRDefault="000E2E0A" w:rsidP="00C018B8">
      <w:r>
        <w:separator/>
      </w:r>
    </w:p>
  </w:footnote>
  <w:footnote w:type="continuationSeparator" w:id="0">
    <w:p w:rsidR="000E2E0A" w:rsidRDefault="000E2E0A" w:rsidP="00C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5"/>
    <w:rsid w:val="00047A0B"/>
    <w:rsid w:val="000E2E0A"/>
    <w:rsid w:val="00104469"/>
    <w:rsid w:val="001328D0"/>
    <w:rsid w:val="001C2B9C"/>
    <w:rsid w:val="0025707E"/>
    <w:rsid w:val="0026199F"/>
    <w:rsid w:val="00304041"/>
    <w:rsid w:val="00325464"/>
    <w:rsid w:val="003B10F7"/>
    <w:rsid w:val="003F305D"/>
    <w:rsid w:val="00480937"/>
    <w:rsid w:val="00481601"/>
    <w:rsid w:val="004908C4"/>
    <w:rsid w:val="004E4169"/>
    <w:rsid w:val="005A0955"/>
    <w:rsid w:val="005B52D5"/>
    <w:rsid w:val="00623333"/>
    <w:rsid w:val="0068288A"/>
    <w:rsid w:val="006F1416"/>
    <w:rsid w:val="00802B32"/>
    <w:rsid w:val="00864E24"/>
    <w:rsid w:val="00887D3F"/>
    <w:rsid w:val="0092420E"/>
    <w:rsid w:val="00A711EA"/>
    <w:rsid w:val="00A778FC"/>
    <w:rsid w:val="00AD137E"/>
    <w:rsid w:val="00B043DB"/>
    <w:rsid w:val="00C018B8"/>
    <w:rsid w:val="00C44FFF"/>
    <w:rsid w:val="00E74335"/>
    <w:rsid w:val="00E96646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809"/>
  <w15:chartTrackingRefBased/>
  <w15:docId w15:val="{9C0FF2EE-7824-462C-A71D-503EFF2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5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570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57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2021-02-09T13:06:00Z</dcterms:created>
  <dcterms:modified xsi:type="dcterms:W3CDTF">2021-02-17T13:56:00Z</dcterms:modified>
</cp:coreProperties>
</file>