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0" w:rsidRDefault="00265130" w:rsidP="0026513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F82EF1B" wp14:editId="4D1BB3C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65130" w:rsidRDefault="00265130" w:rsidP="00265130">
      <w:pPr>
        <w:pStyle w:val="1"/>
        <w:jc w:val="center"/>
        <w:rPr>
          <w:b/>
          <w:sz w:val="40"/>
        </w:rPr>
      </w:pPr>
    </w:p>
    <w:p w:rsidR="00265130" w:rsidRDefault="00265130" w:rsidP="0026513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65130" w:rsidRPr="00EE4A51" w:rsidRDefault="00265130" w:rsidP="00265130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65130" w:rsidRDefault="00265130" w:rsidP="0026513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65130" w:rsidRPr="006F2D69" w:rsidRDefault="00265130" w:rsidP="0026513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65130" w:rsidRDefault="00265130" w:rsidP="00265130">
      <w:pPr>
        <w:pStyle w:val="1"/>
        <w:jc w:val="center"/>
        <w:rPr>
          <w:i/>
          <w:sz w:val="10"/>
        </w:rPr>
      </w:pPr>
    </w:p>
    <w:p w:rsidR="00265130" w:rsidRDefault="00265130" w:rsidP="00265130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65130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130" w:rsidRPr="00F8340D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C5403A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«Культура» на 2020-2024 годы</w:t>
      </w:r>
    </w:p>
    <w:p w:rsidR="00265130" w:rsidRPr="00F8340D" w:rsidRDefault="00265130" w:rsidP="00265130">
      <w:pPr>
        <w:jc w:val="center"/>
        <w:rPr>
          <w:b/>
          <w:sz w:val="26"/>
          <w:szCs w:val="26"/>
        </w:rPr>
      </w:pPr>
    </w:p>
    <w:p w:rsidR="00265130" w:rsidRDefault="00265130" w:rsidP="00265130">
      <w:pPr>
        <w:jc w:val="right"/>
        <w:rPr>
          <w:b/>
          <w:sz w:val="26"/>
          <w:szCs w:val="26"/>
        </w:rPr>
      </w:pPr>
      <w:r w:rsidRPr="00F8340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01» февраля 2021</w:t>
      </w:r>
      <w:r w:rsidRPr="0039707E">
        <w:rPr>
          <w:b/>
          <w:sz w:val="22"/>
          <w:szCs w:val="22"/>
        </w:rPr>
        <w:t xml:space="preserve"> г</w:t>
      </w:r>
      <w:r>
        <w:rPr>
          <w:b/>
          <w:sz w:val="26"/>
          <w:szCs w:val="26"/>
        </w:rPr>
        <w:t>.</w:t>
      </w:r>
    </w:p>
    <w:p w:rsidR="00265130" w:rsidRDefault="00265130" w:rsidP="00265130">
      <w:pPr>
        <w:jc w:val="right"/>
        <w:rPr>
          <w:b/>
          <w:sz w:val="26"/>
          <w:szCs w:val="26"/>
        </w:rPr>
      </w:pPr>
    </w:p>
    <w:p w:rsidR="00265130" w:rsidRDefault="00265130" w:rsidP="00265130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 xml:space="preserve">«Культура» </w:t>
      </w:r>
      <w:r w:rsidRPr="007A05DD">
        <w:t>на 2020-2024 годы</w:t>
      </w:r>
      <w:r>
        <w:t xml:space="preserve"> на основании:</w:t>
      </w:r>
    </w:p>
    <w:p w:rsidR="00265130" w:rsidRDefault="00265130" w:rsidP="0026513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65130" w:rsidRDefault="00265130" w:rsidP="0026513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5130" w:rsidRDefault="00265130" w:rsidP="0026513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65130" w:rsidRDefault="00265130" w:rsidP="00265130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«Культура»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65130" w:rsidRDefault="00265130" w:rsidP="00265130">
      <w:pPr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65130" w:rsidRDefault="00265130" w:rsidP="00265130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5543" w:rsidRDefault="00475543" w:rsidP="00265130">
      <w:pPr>
        <w:ind w:firstLine="708"/>
        <w:jc w:val="both"/>
      </w:pP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«Культура» на 2020-2024 годы»;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Общая характеристика сферы реализации муниципальной программы, в том числе формулировка основных проблем в указанной сфере, цели муниципальной программы, инерционный прогноз ее развития;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Цели муниципальной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Прогноз развития соответствующей сферы реализации Программы с учетом реализации муниципальной программы, включая возможные варианты решения проблемы, оценку преимуществ и рисков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Перечень подпрограмм и краткое описание подпрограмм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Планируемые результаты реализации Программы в сфере культуры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Методика расчета значений показателей эффективности реализации муниципальной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Состав,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65130">
        <w:t>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872F0">
        <w:rPr>
          <w:lang w:val="en-US"/>
        </w:rPr>
        <w:t>II</w:t>
      </w:r>
      <w:r w:rsidRPr="002872F0">
        <w:t xml:space="preserve"> «</w:t>
      </w:r>
      <w:r w:rsidRPr="00265130">
        <w:t>Развитие музейного дела в Московской области</w:t>
      </w:r>
      <w:r>
        <w:t>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III «Развитие библиотечного дела в </w:t>
      </w:r>
      <w:r>
        <w:t>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>
        <w:rPr>
          <w:lang w:val="en-US"/>
        </w:rPr>
        <w:t>IV</w:t>
      </w:r>
      <w:r w:rsidRPr="002872F0">
        <w:t xml:space="preserve"> </w:t>
      </w:r>
      <w:r>
        <w:t>«Развитие профессионального искусства, гастрольно-концертной и культурно-досуговой деятельности, кинематографии в Московской области»;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V «</w:t>
      </w:r>
      <w:r w:rsidRPr="00265130">
        <w:t>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 «Развитие образования в сфере культуры Московской области»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VII «Развитие архивного дела в Московской области»</w:t>
      </w:r>
      <w:r>
        <w:t>;</w:t>
      </w:r>
    </w:p>
    <w:p w:rsidR="00265130" w:rsidRPr="002872F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Подпрограмма</w:t>
      </w:r>
      <w:r w:rsidRPr="002872F0">
        <w:t xml:space="preserve"> VIII «Обеспечивающая подпрограмма»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Пояснительная записка;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Письма, служебные записки.</w:t>
      </w: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65130" w:rsidRPr="00F37E68" w:rsidRDefault="00265130" w:rsidP="00265130">
      <w:pPr>
        <w:pStyle w:val="a3"/>
        <w:ind w:left="0" w:firstLine="720"/>
        <w:jc w:val="both"/>
        <w:rPr>
          <w:b/>
        </w:rPr>
      </w:pPr>
    </w:p>
    <w:p w:rsidR="00265130" w:rsidRDefault="00265130" w:rsidP="00475543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65130" w:rsidRDefault="00265130" w:rsidP="00475543">
      <w:pPr>
        <w:jc w:val="both"/>
      </w:pPr>
      <w:r>
        <w:tab/>
        <w:t xml:space="preserve">4.2. Объем финансирования приведен в соответствие с Решением Совета депутатов городского округа </w:t>
      </w:r>
      <w:r w:rsidRPr="00744797">
        <w:t>Пущино</w:t>
      </w:r>
      <w:r w:rsidR="00475543">
        <w:t xml:space="preserve"> №125/26 от 24.12.2020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 и </w:t>
      </w:r>
      <w:r w:rsidRPr="00744797">
        <w:t>№</w:t>
      </w:r>
      <w:r w:rsidR="00475543">
        <w:t>122/25</w:t>
      </w:r>
      <w:r w:rsidRPr="00744797">
        <w:t xml:space="preserve"> от </w:t>
      </w:r>
      <w:r w:rsidR="00475543">
        <w:t>10</w:t>
      </w:r>
      <w:r w:rsidRPr="00744797">
        <w:t>.12.2020 года «</w:t>
      </w:r>
      <w:r w:rsidR="00475543" w:rsidRPr="00475543">
        <w:t>О бюджете городского округа Пущино на 2021 год и на плановый период 2022 и 2023 годов</w:t>
      </w:r>
      <w:r>
        <w:t>». Изменение объемов финансирования программы приведены в Таблице №1.</w:t>
      </w:r>
    </w:p>
    <w:p w:rsidR="00265130" w:rsidRDefault="00265130" w:rsidP="00265130">
      <w:pPr>
        <w:jc w:val="right"/>
        <w:rPr>
          <w:i/>
        </w:rPr>
      </w:pPr>
      <w:r w:rsidRPr="00487F64">
        <w:rPr>
          <w:i/>
        </w:rPr>
        <w:t>Таблица №1</w:t>
      </w:r>
    </w:p>
    <w:p w:rsidR="00910A55" w:rsidRDefault="005E6B8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5403A">
        <w:instrText xml:space="preserve">Excel.Sheet.12 "D:\\Desktop\\РК\\Документы\\Заключения\\Экспертиза муниципальных программ\\2021\\на изменения 2020\\МП Культура\\таблица.xlsx" Лист1!R6C5:R17C11 </w:instrText>
      </w:r>
      <w:r>
        <w:instrText xml:space="preserve">\a \f 4 \h </w:instrText>
      </w:r>
      <w:r>
        <w:fldChar w:fldCharType="separate"/>
      </w:r>
    </w:p>
    <w:tbl>
      <w:tblPr>
        <w:tblW w:w="8460" w:type="dxa"/>
        <w:tblInd w:w="113" w:type="dxa"/>
        <w:tblLook w:val="04A0" w:firstRow="1" w:lastRow="0" w:firstColumn="1" w:lastColumn="0" w:noHBand="0" w:noVBand="1"/>
      </w:tblPr>
      <w:tblGrid>
        <w:gridCol w:w="2564"/>
        <w:gridCol w:w="1066"/>
        <w:gridCol w:w="966"/>
        <w:gridCol w:w="966"/>
        <w:gridCol w:w="966"/>
        <w:gridCol w:w="966"/>
        <w:gridCol w:w="966"/>
      </w:tblGrid>
      <w:tr w:rsidR="00910A55" w:rsidRPr="00910A55" w:rsidTr="00910A55">
        <w:trPr>
          <w:divId w:val="1979992866"/>
          <w:trHeight w:val="3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10A55" w:rsidRPr="00910A55" w:rsidTr="00910A55">
        <w:trPr>
          <w:divId w:val="1979992866"/>
          <w:trHeight w:val="4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55" w:rsidRPr="00910A55" w:rsidRDefault="00910A55" w:rsidP="00910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10A55" w:rsidRPr="00910A55" w:rsidTr="00910A55">
        <w:trPr>
          <w:divId w:val="1979992866"/>
          <w:trHeight w:val="8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МП "Культура" на 2020-2024 годы,                      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252948,00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55271,00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48016,00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49887,00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49887,00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49887,00</w:t>
            </w:r>
          </w:p>
        </w:tc>
      </w:tr>
      <w:tr w:rsidR="00910A55" w:rsidRPr="00910A55" w:rsidTr="00910A55">
        <w:trPr>
          <w:divId w:val="1979992866"/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0A55" w:rsidRPr="00910A55" w:rsidTr="00910A55">
        <w:trPr>
          <w:divId w:val="1979992866"/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4028,00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806,00</w:t>
            </w:r>
          </w:p>
        </w:tc>
      </w:tr>
      <w:tr w:rsidR="00910A55" w:rsidRPr="00910A55" w:rsidTr="00910A55">
        <w:trPr>
          <w:divId w:val="1979992866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238960,00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52336,00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45081,00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47181,00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47181,00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47181,00</w:t>
            </w:r>
          </w:p>
        </w:tc>
      </w:tr>
      <w:tr w:rsidR="00910A55" w:rsidRPr="00910A55" w:rsidTr="00910A55">
        <w:trPr>
          <w:divId w:val="1979992866"/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9960,00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2130,00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2130,00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910A55" w:rsidRPr="00910A55" w:rsidTr="00910A55">
        <w:trPr>
          <w:divId w:val="1979992866"/>
          <w:trHeight w:val="7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ПРОЕКТ МП "Культура" на 2020-2024 годы,                      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360966,83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62971,00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96408,83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77849,00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77850,00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45888,00</w:t>
            </w:r>
          </w:p>
        </w:tc>
      </w:tr>
      <w:tr w:rsidR="00910A55" w:rsidRPr="00910A55" w:rsidTr="00910A55">
        <w:trPr>
          <w:divId w:val="1979992866"/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0A55" w:rsidRPr="00910A55" w:rsidTr="00910A55">
        <w:trPr>
          <w:divId w:val="1979992866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6236,00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3044,00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910A55" w:rsidRPr="00910A55" w:rsidTr="00910A55">
        <w:trPr>
          <w:divId w:val="1979992866"/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330195,83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52336,00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78659,83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77054,00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77054,00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45092,00</w:t>
            </w:r>
          </w:p>
        </w:tc>
      </w:tr>
      <w:tr w:rsidR="00910A55" w:rsidRPr="00910A55" w:rsidTr="00D4433A">
        <w:trPr>
          <w:divId w:val="1979992866"/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20410,00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9830,00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10580,00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center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F4019" w:rsidRDefault="005E6B8D">
      <w:r>
        <w:fldChar w:fldCharType="end"/>
      </w:r>
    </w:p>
    <w:p w:rsidR="00777613" w:rsidRDefault="00830ADE" w:rsidP="00777613">
      <w:pPr>
        <w:jc w:val="both"/>
      </w:pPr>
      <w:r>
        <w:tab/>
      </w:r>
      <w:r w:rsidR="00966E25">
        <w:t xml:space="preserve">4.2.1. </w:t>
      </w:r>
      <w:r w:rsidRPr="00830ADE">
        <w:t>Общий объем финансирования муницип</w:t>
      </w:r>
      <w:r>
        <w:t>альной программы увеличен на</w:t>
      </w:r>
      <w:r w:rsidRPr="00830ADE">
        <w:t xml:space="preserve"> 108018,83</w:t>
      </w:r>
      <w:r>
        <w:t xml:space="preserve"> тыс. рублей или на 42,7% (на 4125 тыс. рублей за счет федерального бюджета, на 2208 тыс. рублей за счет средств бюджета Московской области, на </w:t>
      </w:r>
      <w:r w:rsidRPr="00830ADE">
        <w:t>91235,83</w:t>
      </w:r>
      <w:r>
        <w:t xml:space="preserve"> тыс. рублей за счет средств бюджета городского округа Пущино, на 10450 тыс. рублей за счет внебюджетных источников) и составил </w:t>
      </w:r>
      <w:r w:rsidRPr="00830ADE">
        <w:t>360966,83</w:t>
      </w:r>
      <w:r>
        <w:t xml:space="preserve"> </w:t>
      </w:r>
      <w:r w:rsidRPr="00830ADE">
        <w:t>тыс. рублей в связи со следующими изменениями проекта Программы:</w:t>
      </w:r>
    </w:p>
    <w:p w:rsidR="00966E25" w:rsidRPr="00777613" w:rsidRDefault="00777613" w:rsidP="00777613">
      <w:pPr>
        <w:jc w:val="both"/>
      </w:pPr>
      <w:r>
        <w:rPr>
          <w:rFonts w:eastAsiaTheme="minorHAnsi"/>
        </w:rPr>
        <w:tab/>
      </w:r>
      <w:r w:rsidR="00966E25" w:rsidRPr="00966E25">
        <w:rPr>
          <w:rFonts w:eastAsiaTheme="minorHAnsi"/>
        </w:rPr>
        <w:t>В части финансирования</w:t>
      </w:r>
      <w:r w:rsidR="00966E25" w:rsidRPr="00966E25">
        <w:rPr>
          <w:rFonts w:eastAsiaTheme="minorHAnsi"/>
          <w:bCs/>
        </w:rPr>
        <w:t xml:space="preserve"> в связи с </w:t>
      </w:r>
      <w:r w:rsidR="00966E25" w:rsidRPr="00966E25">
        <w:rPr>
          <w:rFonts w:eastAsia="Calibri"/>
          <w:lang w:eastAsia="en-US"/>
        </w:rPr>
        <w:t>внесением изменений в бюджет городского округа Пущино на 2021 и плановый период 2022 и 2023 годов: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3"/>
        <w:gridCol w:w="2340"/>
        <w:gridCol w:w="1116"/>
        <w:gridCol w:w="1116"/>
        <w:gridCol w:w="1110"/>
      </w:tblGrid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2021 год, тыс. рублей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2022 год, тыс. рублей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2023 год, тыс. рублей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 xml:space="preserve">Подпрограмма I 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 xml:space="preserve">Подпрограмма II 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«Развитие музейного дела в Московской области»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5029,00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5029,00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5029,00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Подпрограмма I</w:t>
            </w:r>
            <w:r w:rsidRPr="00966E25">
              <w:rPr>
                <w:rFonts w:eastAsiaTheme="minorHAnsi"/>
                <w:sz w:val="18"/>
                <w:szCs w:val="18"/>
                <w:lang w:val="en-US" w:eastAsia="en-US"/>
              </w:rPr>
              <w:t>II</w:t>
            </w:r>
            <w:r w:rsidRPr="00966E2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«Развитие библиотечного дела в Московской области»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10472,00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10472,00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10472,00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Подпрограмма IV «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Развитие профессионального искусства, гастрольно-концертной </w:t>
            </w:r>
            <w:r w:rsidRPr="00966E25">
              <w:rPr>
                <w:rFonts w:eastAsiaTheme="minorHAnsi"/>
                <w:sz w:val="18"/>
                <w:szCs w:val="18"/>
                <w:lang w:eastAsia="en-US"/>
              </w:rPr>
              <w:t xml:space="preserve">и культурно-досуговой 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деятельности, кинематографии в Московской области</w:t>
            </w: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28567,00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28567,00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28567,00</w:t>
            </w:r>
          </w:p>
        </w:tc>
      </w:tr>
      <w:tr w:rsidR="00966E25" w:rsidRPr="00966E25" w:rsidTr="002C7258">
        <w:trPr>
          <w:trHeight w:val="585"/>
        </w:trPr>
        <w:tc>
          <w:tcPr>
            <w:tcW w:w="3823" w:type="dxa"/>
            <w:vMerge w:val="restart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Подпрограмма V «Укрепление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4125,00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66E25" w:rsidRPr="00966E25" w:rsidTr="002C7258">
        <w:trPr>
          <w:trHeight w:val="649"/>
        </w:trPr>
        <w:tc>
          <w:tcPr>
            <w:tcW w:w="3823" w:type="dxa"/>
            <w:vMerge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2245,00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66E25" w:rsidRPr="00966E25" w:rsidTr="002C7258">
        <w:trPr>
          <w:trHeight w:val="545"/>
        </w:trPr>
        <w:tc>
          <w:tcPr>
            <w:tcW w:w="3823" w:type="dxa"/>
            <w:vMerge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1605,83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Подпрограмма VI «Развитие образования в сфере культуры Московской области»</w:t>
            </w: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31962,00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31962,00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31962,00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Подпрограмма V</w:t>
            </w:r>
            <w:r w:rsidRPr="00966E25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I</w:t>
            </w: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I «Развитие архивного дела в Московской области»</w:t>
            </w:r>
          </w:p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799,00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796,00</w:t>
            </w:r>
          </w:p>
        </w:tc>
      </w:tr>
      <w:tr w:rsidR="00966E25" w:rsidRPr="00966E25" w:rsidTr="002C7258">
        <w:tc>
          <w:tcPr>
            <w:tcW w:w="3823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Подпрограмма VI</w:t>
            </w:r>
            <w:r w:rsidRPr="00966E25">
              <w:rPr>
                <w:rFonts w:eastAsiaTheme="minorHAnsi"/>
                <w:sz w:val="18"/>
                <w:szCs w:val="18"/>
                <w:lang w:val="en-US" w:eastAsia="en-US"/>
              </w:rPr>
              <w:t>I</w:t>
            </w:r>
            <w:r w:rsidRPr="00966E25">
              <w:rPr>
                <w:rFonts w:eastAsiaTheme="minorHAnsi"/>
                <w:sz w:val="18"/>
                <w:szCs w:val="18"/>
                <w:lang w:eastAsia="en-US"/>
              </w:rPr>
              <w:t>I «Обеспечивающая подпрограмма»</w:t>
            </w:r>
          </w:p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66E25" w:rsidRPr="00966E25" w:rsidRDefault="00966E25" w:rsidP="00966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bCs/>
                <w:sz w:val="18"/>
                <w:szCs w:val="18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1024,00</w:t>
            </w:r>
          </w:p>
        </w:tc>
        <w:tc>
          <w:tcPr>
            <w:tcW w:w="1134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1024,00</w:t>
            </w:r>
          </w:p>
        </w:tc>
        <w:tc>
          <w:tcPr>
            <w:tcW w:w="1128" w:type="dxa"/>
          </w:tcPr>
          <w:p w:rsidR="00966E25" w:rsidRPr="00966E25" w:rsidRDefault="00966E25" w:rsidP="00966E25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66E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1024,00</w:t>
            </w:r>
          </w:p>
        </w:tc>
      </w:tr>
    </w:tbl>
    <w:p w:rsidR="0027513C" w:rsidRDefault="00966E25" w:rsidP="00966E25">
      <w:pPr>
        <w:tabs>
          <w:tab w:val="left" w:pos="1050"/>
        </w:tabs>
        <w:jc w:val="both"/>
      </w:pPr>
      <w:r>
        <w:tab/>
      </w:r>
    </w:p>
    <w:p w:rsidR="00777613" w:rsidRDefault="00777613" w:rsidP="00777613">
      <w:pPr>
        <w:tabs>
          <w:tab w:val="left" w:pos="1050"/>
        </w:tabs>
        <w:jc w:val="both"/>
      </w:pPr>
      <w:r>
        <w:tab/>
        <w:t>4.3. В структуре муниципальной программы в соответствии с письмом Министерства экономики и финансов Московской области (МЭФ Московской области) от 17.11.2020 № 24Исх-12911/15-03, письмом Министерства культуры Московской области от 21.11.2020 № Исх-6296/17-07.</w:t>
      </w:r>
    </w:p>
    <w:p w:rsidR="00777613" w:rsidRDefault="00777613" w:rsidP="00777613">
      <w:pPr>
        <w:tabs>
          <w:tab w:val="left" w:pos="1050"/>
        </w:tabs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части показателей в соответствии с письмом Министерства культуры Московской области от 30.11.2020 № Исх-6530/17-07, письмом Министерства экономики и финансов Московской области (МЭФ Московской области) от 17.11.2020 № 24Исх-12911/15-03.</w:t>
      </w:r>
    </w:p>
    <w:p w:rsidR="0027513C" w:rsidRPr="00E87725" w:rsidRDefault="00D93E58" w:rsidP="00E87725">
      <w:pPr>
        <w:jc w:val="both"/>
      </w:pPr>
      <w:r>
        <w:tab/>
      </w:r>
      <w:r w:rsidR="00777613">
        <w:t>4.4.</w:t>
      </w:r>
      <w:r w:rsidR="0027513C" w:rsidRPr="00E87725">
        <w:t xml:space="preserve"> Выводы: изменения в муниципальную программу «Культура»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E87725" w:rsidRPr="00E87725">
        <w:t>№125/26 от 24.12.2020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 и №122/25 от 10.12.2020 года «О бюджете город</w:t>
      </w:r>
      <w:r w:rsidR="00777613">
        <w:t xml:space="preserve">ского </w:t>
      </w:r>
      <w:r w:rsidR="00E87725" w:rsidRPr="00E87725">
        <w:t>округа Пущино на 2021 год и на плановый период 2022 и 2023 годов».</w:t>
      </w:r>
    </w:p>
    <w:p w:rsidR="0027513C" w:rsidRPr="00E87725" w:rsidRDefault="0027513C" w:rsidP="0027513C">
      <w:pPr>
        <w:jc w:val="both"/>
      </w:pPr>
      <w:r w:rsidRPr="00E87725">
        <w:tab/>
        <w:t>По итогам финансово-экономической экспертизы проекта Программы замечания отсутствуют.</w:t>
      </w: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Default="0027513C" w:rsidP="0027513C">
      <w:pPr>
        <w:jc w:val="both"/>
      </w:pPr>
      <w:r w:rsidRPr="00E87725">
        <w:t xml:space="preserve">Председатель                                                                                                         Е.Е. </w:t>
      </w:r>
      <w:proofErr w:type="spellStart"/>
      <w:r w:rsidRPr="00E87725">
        <w:t>Прасолова</w:t>
      </w:r>
      <w:proofErr w:type="spellEnd"/>
    </w:p>
    <w:p w:rsidR="0027513C" w:rsidRDefault="0027513C" w:rsidP="0027513C">
      <w:pPr>
        <w:jc w:val="both"/>
      </w:pPr>
    </w:p>
    <w:p w:rsidR="00D93E58" w:rsidRDefault="00D93E58" w:rsidP="00830ADE">
      <w:pPr>
        <w:jc w:val="both"/>
      </w:pPr>
    </w:p>
    <w:sectPr w:rsidR="00D93E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97" w:rsidRDefault="006E3797" w:rsidP="0038773B">
      <w:r>
        <w:separator/>
      </w:r>
    </w:p>
  </w:endnote>
  <w:endnote w:type="continuationSeparator" w:id="0">
    <w:p w:rsidR="006E3797" w:rsidRDefault="006E3797" w:rsidP="003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978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773B" w:rsidRPr="0038773B" w:rsidRDefault="0038773B">
        <w:pPr>
          <w:pStyle w:val="a7"/>
          <w:jc w:val="center"/>
          <w:rPr>
            <w:sz w:val="22"/>
            <w:szCs w:val="22"/>
          </w:rPr>
        </w:pPr>
        <w:r w:rsidRPr="0038773B">
          <w:rPr>
            <w:sz w:val="22"/>
            <w:szCs w:val="22"/>
          </w:rPr>
          <w:fldChar w:fldCharType="begin"/>
        </w:r>
        <w:r w:rsidRPr="0038773B">
          <w:rPr>
            <w:sz w:val="22"/>
            <w:szCs w:val="22"/>
          </w:rPr>
          <w:instrText>PAGE   \* MERGEFORMAT</w:instrText>
        </w:r>
        <w:r w:rsidRPr="0038773B">
          <w:rPr>
            <w:sz w:val="22"/>
            <w:szCs w:val="22"/>
          </w:rPr>
          <w:fldChar w:fldCharType="separate"/>
        </w:r>
        <w:r w:rsidR="00C5403A">
          <w:rPr>
            <w:noProof/>
            <w:sz w:val="22"/>
            <w:szCs w:val="22"/>
          </w:rPr>
          <w:t>1</w:t>
        </w:r>
        <w:r w:rsidRPr="0038773B">
          <w:rPr>
            <w:sz w:val="22"/>
            <w:szCs w:val="22"/>
          </w:rPr>
          <w:fldChar w:fldCharType="end"/>
        </w:r>
      </w:p>
    </w:sdtContent>
  </w:sdt>
  <w:p w:rsidR="0038773B" w:rsidRDefault="003877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97" w:rsidRDefault="006E3797" w:rsidP="0038773B">
      <w:r>
        <w:separator/>
      </w:r>
    </w:p>
  </w:footnote>
  <w:footnote w:type="continuationSeparator" w:id="0">
    <w:p w:rsidR="006E3797" w:rsidRDefault="006E3797" w:rsidP="003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A"/>
    <w:rsid w:val="00053C46"/>
    <w:rsid w:val="0018501F"/>
    <w:rsid w:val="00265130"/>
    <w:rsid w:val="0027513C"/>
    <w:rsid w:val="0038773B"/>
    <w:rsid w:val="00475543"/>
    <w:rsid w:val="005E6B8D"/>
    <w:rsid w:val="006B403A"/>
    <w:rsid w:val="006E3797"/>
    <w:rsid w:val="00777613"/>
    <w:rsid w:val="007839FE"/>
    <w:rsid w:val="00830ADE"/>
    <w:rsid w:val="008E522F"/>
    <w:rsid w:val="00910A55"/>
    <w:rsid w:val="00966E25"/>
    <w:rsid w:val="009E061D"/>
    <w:rsid w:val="00C5403A"/>
    <w:rsid w:val="00D4433A"/>
    <w:rsid w:val="00D93E58"/>
    <w:rsid w:val="00E87725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2002"/>
  <w15:chartTrackingRefBased/>
  <w15:docId w15:val="{B00B1DD4-2C8B-4F96-8966-0F436D2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2021-01-29T08:53:00Z</dcterms:created>
  <dcterms:modified xsi:type="dcterms:W3CDTF">2021-02-01T06:52:00Z</dcterms:modified>
</cp:coreProperties>
</file>